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温州市“强城有我·共赴未来”公益商业广告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创意大赛获奖作品奖金标准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widowControl/>
        <w:ind w:firstLine="607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  <w:t>（单位：人民币 元）</w:t>
      </w:r>
    </w:p>
    <w:tbl>
      <w:tblPr>
        <w:tblStyle w:val="2"/>
        <w:tblpPr w:leftFromText="180" w:rightFromText="180" w:vertAnchor="text" w:horzAnchor="margin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96"/>
        <w:gridCol w:w="1726"/>
        <w:gridCol w:w="171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7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分类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奖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奖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eastAsia="zh-CN"/>
              </w:rPr>
              <w:t>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奖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公益广告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2000*2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大学生广告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商业广告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“广告助农”共富行动广告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2000*1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共计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31200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20C0"/>
    <w:rsid w:val="5DE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2025-02-13T10:45:00Z</dcterms:created>
  <dc:creator>WPS_1625760122</dc:creator>
  <cp:lastModifiedBy>WPS_1625760122</cp:lastModifiedBy>
  <dcterms:modified xsi:type="dcterms:W3CDTF">2025-02-13T10:45:56Z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7F5F61A5E097549ADC5CAD67841DBB0C_41</vt:lpwstr>
  </property>
</Properties>
</file>